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480f82c5c40a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12399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OPUZEN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776.160,05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845.467,20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880.368,37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826.027,26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19.439,94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1.772,17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7.777,55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1.772,17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7.777,55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438,9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11.662,39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poslovanja šifra (6) iznose 845.467,20 € a ukupni rashodi poslovanja šifra (3) iznose 826.027,26 €.  </w:t>
      </w:r>
    </w:p>
    <w:p>
      <w:r>
        <w:t xml:space="preserve">Višak prihoda poslovananja  (šifra x001) iznosi 19.439,94.</w:t>
      </w:r>
    </w:p>
    <w:p>
      <w:r>
        <w:t xml:space="preserve">Ukupni rashodi za nabavu nefinacijske imovine (šifra 4) 7.777,55 €.</w:t>
      </w:r>
    </w:p>
    <w:p>
      <w:r>
        <w:t xml:space="preserve">Višak prihoda i primitaka šifra (xoo5) iznosi 11.662,39 €.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776.160,05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845.467,20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108,9</w:t>
            </w:r>
          </w:p>
        </w:tc>
      </w:tr>
    </w:tbl>
    <w:p>
      <w:pPr>
        <w:spacing w:before="0" w:after="0"/>
      </w:pPr>
    </w:p>
    <w:p>
      <w:r>
        <w:t xml:space="preserve">Prihodi poslovanja predstavljaju zbroj šifre (636) Prihodi proračun.korisnicima iz proračuna koji im nije nadležan 730.173,07 €, (641) Prihodi od financijske imovine 0,0 €, (652) Prihodi po posebnim propisima 4.822,00 €, (671) Prihodi od nadležnog proračuna za financiranje redovne djelatnosti 110.472,13 €.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880.368,37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826.027,26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93,8</w:t>
            </w:r>
          </w:p>
        </w:tc>
      </w:tr>
    </w:tbl>
    <w:p>
      <w:pPr>
        <w:spacing w:before="0" w:after="0"/>
      </w:pPr>
    </w:p>
    <w:p>
      <w:r>
        <w:t xml:space="preserve">Rashodi poslovanja šifra (3) iznose 826.027,26 € odnose se na sve rashode u prvih pola pola godine za OŠ Opuzen.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14.128,40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u iznosu 14.128,40 € odnose na račune za školsku prehranu za mjesec Svibanj i Lipanj koji nisu plaćeni i na račune za mjesec Lipanj. Nedospjele obveze u iznosu 112.590,09 € se odnose trošak plaće za mjesec Lipanj koji smo knjižili na dan 30.06.2026. a prihod ćemo knjižiti u mjesecu Srpnju, i na refundaciju bolovanja preko Hzzo.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8aef5790f948f4" /></Relationships>
</file>