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1DDED">
      <w:pPr>
        <w:spacing w:after="0" w:line="276" w:lineRule="auto"/>
        <w:jc w:val="right"/>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NACRT</w:t>
      </w:r>
    </w:p>
    <w:p w14:paraId="30B386CF">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PRAVILNIK O JEDNOSTAVNOJ NABAVI</w:t>
      </w:r>
    </w:p>
    <w:p w14:paraId="3A0A870B">
      <w:pPr>
        <w:spacing w:after="0" w:line="276" w:lineRule="auto"/>
        <w:jc w:val="both"/>
        <w:rPr>
          <w:rFonts w:eastAsia="Times New Roman" w:cstheme="minorHAnsi"/>
          <w:sz w:val="24"/>
          <w:szCs w:val="24"/>
          <w:highlight w:val="none"/>
          <w:lang w:eastAsia="hr-HR"/>
        </w:rPr>
      </w:pPr>
      <w:r>
        <w:rPr>
          <w:rFonts w:eastAsia="Times New Roman" w:cstheme="minorHAnsi"/>
          <w:sz w:val="24"/>
          <w:szCs w:val="24"/>
          <w:lang w:eastAsia="hr-HR"/>
        </w:rPr>
        <w:t xml:space="preserve">Na temelju članka 15. stavka 2. Zakona o javnoj nabavi („Narodne novine“, broj 120/16, 114/22 i 48/26.) i članka </w:t>
      </w:r>
      <w:r>
        <w:rPr>
          <w:rFonts w:hint="default" w:eastAsia="Times New Roman" w:cstheme="minorHAnsi"/>
          <w:sz w:val="24"/>
          <w:szCs w:val="24"/>
          <w:lang w:val="en-US" w:eastAsia="hr-HR"/>
        </w:rPr>
        <w:t>58.</w:t>
      </w:r>
      <w:r>
        <w:rPr>
          <w:rFonts w:eastAsia="Times New Roman" w:cstheme="minorHAnsi"/>
          <w:sz w:val="24"/>
          <w:szCs w:val="24"/>
          <w:lang w:eastAsia="hr-HR"/>
        </w:rPr>
        <w:t xml:space="preserve"> Statuta</w:t>
      </w:r>
      <w:r>
        <w:rPr>
          <w:rFonts w:hint="default" w:eastAsia="Times New Roman" w:cstheme="minorHAnsi"/>
          <w:sz w:val="24"/>
          <w:szCs w:val="24"/>
          <w:lang w:val="en-US" w:eastAsia="hr-HR"/>
        </w:rPr>
        <w:t xml:space="preserve"> Osnovne škole Opuzen, </w:t>
      </w:r>
      <w:r>
        <w:rPr>
          <w:rFonts w:eastAsia="Times New Roman" w:cstheme="minorHAnsi"/>
          <w:sz w:val="24"/>
          <w:szCs w:val="24"/>
          <w:lang w:eastAsia="hr-HR"/>
        </w:rPr>
        <w:t xml:space="preserve">Školski odbor </w:t>
      </w:r>
      <w:r>
        <w:rPr>
          <w:rFonts w:hint="default" w:eastAsia="Times New Roman" w:cstheme="minorHAnsi"/>
          <w:sz w:val="24"/>
          <w:szCs w:val="24"/>
          <w:highlight w:val="none"/>
          <w:lang w:val="en-US" w:eastAsia="hr-HR"/>
        </w:rPr>
        <w:t>Osnovne škole Opuzen, (</w:t>
      </w:r>
      <w:r>
        <w:rPr>
          <w:rFonts w:eastAsia="Times New Roman" w:cstheme="minorHAnsi"/>
          <w:sz w:val="24"/>
          <w:szCs w:val="24"/>
          <w:highlight w:val="none"/>
          <w:lang w:eastAsia="hr-HR"/>
        </w:rPr>
        <w:t>dalje Naručitelja) na sjednici održanoj ___________ 2026. godine donosi</w:t>
      </w:r>
    </w:p>
    <w:p w14:paraId="68DB35E6">
      <w:pPr>
        <w:spacing w:after="0" w:line="276" w:lineRule="auto"/>
        <w:jc w:val="both"/>
        <w:rPr>
          <w:rFonts w:eastAsia="Times New Roman" w:cstheme="minorHAnsi"/>
          <w:sz w:val="24"/>
          <w:szCs w:val="24"/>
          <w:lang w:eastAsia="hr-HR"/>
        </w:rPr>
      </w:pPr>
    </w:p>
    <w:p w14:paraId="36F8A20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PRAVILNIK O JEDNOSTAVNOJ NABAVI</w:t>
      </w:r>
    </w:p>
    <w:p w14:paraId="3764D8A5">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 OPĆE ODREDBE</w:t>
      </w:r>
    </w:p>
    <w:p w14:paraId="600739AB">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w:t>
      </w:r>
    </w:p>
    <w:p w14:paraId="13FBE438">
      <w:pPr>
        <w:spacing w:after="0" w:line="276" w:lineRule="auto"/>
        <w:outlineLvl w:val="2"/>
        <w:rPr>
          <w:rFonts w:eastAsia="Times New Roman" w:cstheme="minorHAnsi"/>
          <w:b/>
          <w:bCs/>
          <w:sz w:val="24"/>
          <w:szCs w:val="24"/>
          <w:lang w:eastAsia="hr-HR"/>
        </w:rPr>
      </w:pPr>
      <w:r>
        <w:rPr>
          <w:rFonts w:eastAsia="Times New Roman" w:cstheme="minorHAnsi"/>
          <w:b/>
          <w:bCs/>
          <w:sz w:val="24"/>
          <w:szCs w:val="24"/>
          <w:lang w:eastAsia="hr-HR"/>
        </w:rPr>
        <w:t>Predmet Pravilnika</w:t>
      </w:r>
    </w:p>
    <w:p w14:paraId="73FE753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14:paraId="3D4E848F">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Ovim Pravilnikom uređuju se osobito:</w:t>
      </w:r>
    </w:p>
    <w:p w14:paraId="5245DBFB">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planiranje jednostavne nabave, </w:t>
      </w:r>
    </w:p>
    <w:p w14:paraId="237D1B76">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određivanje procijenjene vrijednosti nabave, </w:t>
      </w:r>
    </w:p>
    <w:p w14:paraId="44632C61">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provedbe postupaka jednostavne nabave, </w:t>
      </w:r>
    </w:p>
    <w:p w14:paraId="083375AD">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sudionika u postupku, </w:t>
      </w:r>
    </w:p>
    <w:p w14:paraId="2F020180">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komunikacije s gospodarskim subjektima, </w:t>
      </w:r>
    </w:p>
    <w:p w14:paraId="025E37C8">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pravila elektroničke komunikacije, </w:t>
      </w:r>
    </w:p>
    <w:p w14:paraId="02C40767">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pregleda i ocjene ponuda, </w:t>
      </w:r>
    </w:p>
    <w:p w14:paraId="24A11E38">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donošenje odluke o odabiru ili poništenju, </w:t>
      </w:r>
    </w:p>
    <w:p w14:paraId="224A17F7">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pravna zaštita putem prigovora, </w:t>
      </w:r>
    </w:p>
    <w:p w14:paraId="4A74B5C6">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dokumentiranje i čuvanje dokumentacije. </w:t>
      </w:r>
    </w:p>
    <w:p w14:paraId="2E33DF3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Ovaj Pravilnik primjenjuje se na sve postupke jednostavne nabave koje provodi Naručitelj, neovisno o izvoru financiranja.</w:t>
      </w:r>
    </w:p>
    <w:p w14:paraId="3E92E10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14:paraId="171A2B50">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w:t>
      </w:r>
    </w:p>
    <w:p w14:paraId="0035F26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Načela postupanja</w:t>
      </w:r>
    </w:p>
    <w:p w14:paraId="72DCAD0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provedbi jednostavne nabave Naručitelj je obvezan poštovati načela javne nabave:</w:t>
      </w:r>
    </w:p>
    <w:p w14:paraId="00E02D52">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tržišnog natjecanja, </w:t>
      </w:r>
    </w:p>
    <w:p w14:paraId="26F7DAF0">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jednakog tretmana, </w:t>
      </w:r>
    </w:p>
    <w:p w14:paraId="5EDA6F9A">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zabrane diskriminacije, </w:t>
      </w:r>
    </w:p>
    <w:p w14:paraId="585F9605">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razmjernosti, </w:t>
      </w:r>
    </w:p>
    <w:p w14:paraId="3C61B748">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transparentnosti, </w:t>
      </w:r>
    </w:p>
    <w:p w14:paraId="1B70E0DD">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uzajamnog priznavanja, </w:t>
      </w:r>
    </w:p>
    <w:p w14:paraId="6550A219">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poslovnog nastana, </w:t>
      </w:r>
    </w:p>
    <w:p w14:paraId="3CB0AA7F">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pružanja usluga. </w:t>
      </w:r>
    </w:p>
    <w:p w14:paraId="1C3219A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ne smiju se oblikovati niti provoditi s namjerom:</w:t>
      </w:r>
    </w:p>
    <w:p w14:paraId="33B1DF64">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izbjegavanja primjene Zakona, </w:t>
      </w:r>
    </w:p>
    <w:p w14:paraId="517401A1">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umjetnog dijeljenja predmeta nabave, </w:t>
      </w:r>
    </w:p>
    <w:p w14:paraId="616CDE74">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pogodovanja pojedinom gospodarskom subjektu, </w:t>
      </w:r>
    </w:p>
    <w:p w14:paraId="79E150EB">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ograničavanja tržišnog natjecanja. </w:t>
      </w:r>
    </w:p>
    <w:p w14:paraId="5A8F2B5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Sve osobe koje sudjeluju u postupcima jednostavne nabave dužne su postupati zakonito, savjesno, profesionalno i nepristrano.</w:t>
      </w:r>
    </w:p>
    <w:p w14:paraId="1CA72087">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w:t>
      </w:r>
    </w:p>
    <w:p w14:paraId="35315C6B">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Sukob interesa</w:t>
      </w:r>
    </w:p>
    <w:p w14:paraId="06B8741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14:paraId="4098008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Osobe koje sudjeluju u pripremi ili provedbi postupka dužne su prije početka rada potpisati izjavu o nepostojanju sukoba interesa.</w:t>
      </w:r>
    </w:p>
    <w:p w14:paraId="6E83D37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14:paraId="0AA2A8A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vodi i ažurira popis gospodarskih subjekata s kojima postoji sukob interesa sukladno Zakonu.</w:t>
      </w:r>
    </w:p>
    <w:p w14:paraId="3B30F6F9">
      <w:pPr>
        <w:spacing w:after="0" w:line="276" w:lineRule="auto"/>
        <w:jc w:val="both"/>
        <w:rPr>
          <w:rFonts w:eastAsia="Times New Roman" w:cstheme="minorHAnsi"/>
          <w:sz w:val="24"/>
          <w:szCs w:val="24"/>
          <w:lang w:eastAsia="hr-HR"/>
        </w:rPr>
      </w:pPr>
    </w:p>
    <w:p w14:paraId="6319BD8E">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 PLANIRANJE NABAVE</w:t>
      </w:r>
    </w:p>
    <w:p w14:paraId="72BD9656">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4.</w:t>
      </w:r>
    </w:p>
    <w:p w14:paraId="69BC61AB">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Planiranje</w:t>
      </w:r>
    </w:p>
    <w:p w14:paraId="70A63A5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Jednostavna nabava planira se u skladu s potrebama Naručitelja i osiguranim financijskim sredstvima.</w:t>
      </w:r>
    </w:p>
    <w:p w14:paraId="777F637E">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u pravilu se provode na temelju Plana nabave.</w:t>
      </w:r>
    </w:p>
    <w:p w14:paraId="52E5974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14:paraId="3263BDA8">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5.</w:t>
      </w:r>
    </w:p>
    <w:p w14:paraId="0BA19A95">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Procijenjena vrijednost nabave</w:t>
      </w:r>
    </w:p>
    <w:p w14:paraId="31008A4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Procijenjena vrijednost nabave određuje se prije pokretanja postupka bez poreza na dodanu vrijednost.</w:t>
      </w:r>
    </w:p>
    <w:p w14:paraId="3C8FAECD">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14:paraId="4C0F08E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Nije dopušteno umjetno dijeliti predmet nabave radi izbjegavanja primjene Zakona ili ovoga Pravilnika.</w:t>
      </w:r>
    </w:p>
    <w:p w14:paraId="6CA5D8D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14:paraId="1EA1F94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6.</w:t>
      </w:r>
    </w:p>
    <w:p w14:paraId="5598012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Analiza tržišta</w:t>
      </w:r>
    </w:p>
    <w:p w14:paraId="3E0893F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Prije pokretanja postupka jednostavne nabave može se provesti analiza tržišta radi utvrđivanja procijenjene vrijednosti i dostupnosti predmeta nabave.</w:t>
      </w:r>
    </w:p>
    <w:p w14:paraId="052215D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 postupke za koje se provodi javna objava u modulu jednostavne nabave EOJN RH analiza tržišta provodi se u pravilu.</w:t>
      </w:r>
    </w:p>
    <w:p w14:paraId="72A90CC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Analiza tržišta može uključivati:</w:t>
      </w:r>
    </w:p>
    <w:p w14:paraId="4265132E">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internetske stranice gospodarskih subjekata, </w:t>
      </w:r>
    </w:p>
    <w:p w14:paraId="4A4E8B57">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kataloge i cjenike, </w:t>
      </w:r>
    </w:p>
    <w:p w14:paraId="33FF3A91">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prethodno provedene postupke, </w:t>
      </w:r>
    </w:p>
    <w:p w14:paraId="7E6A4F82">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registre ugovora, </w:t>
      </w:r>
    </w:p>
    <w:p w14:paraId="0A75536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informativne ponude, </w:t>
      </w:r>
    </w:p>
    <w:p w14:paraId="6FCFE984">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javno dostupne izvore. </w:t>
      </w:r>
    </w:p>
    <w:p w14:paraId="7A7F855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O provedenoj analizi tržišta sastavlja se službena bilješka koja se prilaže dokumentaciji postupka.</w:t>
      </w:r>
    </w:p>
    <w:p w14:paraId="0BC01323">
      <w:pPr>
        <w:spacing w:after="0" w:line="276" w:lineRule="auto"/>
        <w:jc w:val="both"/>
        <w:rPr>
          <w:rFonts w:eastAsia="Times New Roman" w:cstheme="minorHAnsi"/>
          <w:sz w:val="24"/>
          <w:szCs w:val="24"/>
          <w:lang w:eastAsia="hr-HR"/>
        </w:rPr>
      </w:pPr>
    </w:p>
    <w:p w14:paraId="6124A1E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III. SUDIONICI U POSTUPKU JEDNOSTAVNE NABAVE</w:t>
      </w:r>
    </w:p>
    <w:p w14:paraId="5501E30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7.</w:t>
      </w:r>
    </w:p>
    <w:p w14:paraId="23DAC77E">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Ovlaštene osobe</w:t>
      </w:r>
    </w:p>
    <w:p w14:paraId="76CD845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Postupke jednostavne nabave provodi ravnatelj odnosno stručno povjerenstvo koje imenuje ravnatelj.</w:t>
      </w:r>
    </w:p>
    <w:p w14:paraId="16341CA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 provedbu postupaka jednostavne nabave procijenjene vrijednosti veće od 15.000,00 eura ravnatelj donosi Odluku o početku postupka kojom imenuje najmanje dvije osobe za pripremu i provedbu postupka.</w:t>
      </w:r>
    </w:p>
    <w:p w14:paraId="69BE48D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Članovi stručnog povjerenstva ne moraju biti zaposlenici Naručitelja.</w:t>
      </w:r>
    </w:p>
    <w:p w14:paraId="550D9B0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Stručno povjerenstvo osobito:</w:t>
      </w:r>
    </w:p>
    <w:p w14:paraId="7B57D13B">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priprema dokumentaciju o nabavi, </w:t>
      </w:r>
    </w:p>
    <w:p w14:paraId="4BD88605">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provodi postupak nabave, </w:t>
      </w:r>
    </w:p>
    <w:p w14:paraId="5AA2FC66">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pregledava i ocjenjuje ponude, </w:t>
      </w:r>
    </w:p>
    <w:p w14:paraId="31D114D0">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sastavlja zapisnik, </w:t>
      </w:r>
    </w:p>
    <w:p w14:paraId="67220859">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predlaže donošenje odluke o odabiru ili poništenju. </w:t>
      </w:r>
    </w:p>
    <w:p w14:paraId="19C5CD86">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Ravnatelj može pojedine stručne poslove povjeriti vanjskim stručnim osobama kada to zahtijeva složenost predmeta nabave.</w:t>
      </w:r>
    </w:p>
    <w:p w14:paraId="3A3AB3B5">
      <w:pPr>
        <w:spacing w:after="0" w:line="276" w:lineRule="auto"/>
        <w:jc w:val="both"/>
        <w:rPr>
          <w:rFonts w:eastAsia="Times New Roman" w:cstheme="minorHAnsi"/>
          <w:sz w:val="24"/>
          <w:szCs w:val="24"/>
          <w:lang w:eastAsia="hr-HR"/>
        </w:rPr>
      </w:pPr>
    </w:p>
    <w:p w14:paraId="67A83B49">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IV. VRIJEDNOSNI PRAGOVI I NAČIN PROVEDBE</w:t>
      </w:r>
    </w:p>
    <w:p w14:paraId="5F95883A">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8.</w:t>
      </w:r>
    </w:p>
    <w:p w14:paraId="14D04A65">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Vrijednosni pragovi</w:t>
      </w:r>
    </w:p>
    <w:p w14:paraId="4BC074C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Jednostavna nabava provodi se prema sljedećim vrijednosnim pragovima:</w:t>
      </w:r>
    </w:p>
    <w:tbl>
      <w:tblPr>
        <w:tblStyle w:val="6"/>
        <w:tblW w:w="0" w:type="auto"/>
        <w:tblCellSpacing w:w="15" w:type="dxa"/>
        <w:tblInd w:w="0" w:type="dxa"/>
        <w:tblLayout w:type="autofit"/>
        <w:tblCellMar>
          <w:top w:w="15" w:type="dxa"/>
          <w:left w:w="15" w:type="dxa"/>
          <w:bottom w:w="15" w:type="dxa"/>
          <w:right w:w="15" w:type="dxa"/>
        </w:tblCellMar>
      </w:tblPr>
      <w:tblGrid>
        <w:gridCol w:w="3544"/>
        <w:gridCol w:w="5528"/>
      </w:tblGrid>
      <w:tr w14:paraId="32B59FA4">
        <w:tblPrEx>
          <w:tblCellMar>
            <w:top w:w="15" w:type="dxa"/>
            <w:left w:w="15" w:type="dxa"/>
            <w:bottom w:w="15" w:type="dxa"/>
            <w:right w:w="15" w:type="dxa"/>
          </w:tblCellMar>
        </w:tblPrEx>
        <w:trPr>
          <w:tblHeader/>
          <w:tblCellSpacing w:w="15" w:type="dxa"/>
        </w:trPr>
        <w:tc>
          <w:tcPr>
            <w:tcW w:w="3499" w:type="dxa"/>
            <w:vAlign w:val="center"/>
          </w:tcPr>
          <w:p w14:paraId="4A45B8FB">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Procijenjena vrijednost</w:t>
            </w:r>
          </w:p>
        </w:tc>
        <w:tc>
          <w:tcPr>
            <w:tcW w:w="5483" w:type="dxa"/>
            <w:vAlign w:val="center"/>
          </w:tcPr>
          <w:p w14:paraId="6011BE15">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Način provedbe</w:t>
            </w:r>
          </w:p>
        </w:tc>
      </w:tr>
      <w:tr w14:paraId="1AD6F09F">
        <w:tblPrEx>
          <w:tblCellMar>
            <w:top w:w="15" w:type="dxa"/>
            <w:left w:w="15" w:type="dxa"/>
            <w:bottom w:w="15" w:type="dxa"/>
            <w:right w:w="15" w:type="dxa"/>
          </w:tblCellMar>
        </w:tblPrEx>
        <w:trPr>
          <w:tblCellSpacing w:w="15" w:type="dxa"/>
        </w:trPr>
        <w:tc>
          <w:tcPr>
            <w:tcW w:w="3499" w:type="dxa"/>
            <w:vAlign w:val="center"/>
          </w:tcPr>
          <w:p w14:paraId="2A8553FF">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do 15.000,00 EUR</w:t>
            </w:r>
          </w:p>
        </w:tc>
        <w:tc>
          <w:tcPr>
            <w:tcW w:w="5483" w:type="dxa"/>
            <w:vAlign w:val="center"/>
          </w:tcPr>
          <w:p w14:paraId="105790B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prema odredbama ovoga Pravilnika, bez obvezne primjene EOJN RH</w:t>
            </w:r>
          </w:p>
        </w:tc>
      </w:tr>
      <w:tr w14:paraId="3504007F">
        <w:tblPrEx>
          <w:tblCellMar>
            <w:top w:w="15" w:type="dxa"/>
            <w:left w:w="15" w:type="dxa"/>
            <w:bottom w:w="15" w:type="dxa"/>
            <w:right w:w="15" w:type="dxa"/>
          </w:tblCellMar>
        </w:tblPrEx>
        <w:trPr>
          <w:tblCellSpacing w:w="15" w:type="dxa"/>
        </w:trPr>
        <w:tc>
          <w:tcPr>
            <w:tcW w:w="3499" w:type="dxa"/>
            <w:vAlign w:val="center"/>
          </w:tcPr>
          <w:p w14:paraId="06FDB29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više od 15.000,00 EUR do 25.000,00 EUR</w:t>
            </w:r>
          </w:p>
        </w:tc>
        <w:tc>
          <w:tcPr>
            <w:tcW w:w="5483" w:type="dxa"/>
            <w:vAlign w:val="center"/>
          </w:tcPr>
          <w:p w14:paraId="5CDEA62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upućivanjem poziva na dostavu ponuda jednom ili više gospodarskih subjekata putem modula jednostavne nabave u EOJN RH</w:t>
            </w:r>
          </w:p>
        </w:tc>
      </w:tr>
      <w:tr w14:paraId="22FCE9D0">
        <w:tblPrEx>
          <w:tblCellMar>
            <w:top w:w="15" w:type="dxa"/>
            <w:left w:w="15" w:type="dxa"/>
            <w:bottom w:w="15" w:type="dxa"/>
            <w:right w:w="15" w:type="dxa"/>
          </w:tblCellMar>
        </w:tblPrEx>
        <w:trPr>
          <w:tblCellSpacing w:w="15" w:type="dxa"/>
        </w:trPr>
        <w:tc>
          <w:tcPr>
            <w:tcW w:w="3499" w:type="dxa"/>
            <w:vAlign w:val="center"/>
          </w:tcPr>
          <w:p w14:paraId="3B18F49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robe i usluge iznad 25.000,00 EUR</w:t>
            </w:r>
          </w:p>
        </w:tc>
        <w:tc>
          <w:tcPr>
            <w:tcW w:w="5483" w:type="dxa"/>
            <w:vAlign w:val="center"/>
          </w:tcPr>
          <w:p w14:paraId="61D0549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r w14:paraId="028AEE0D">
        <w:tblPrEx>
          <w:tblCellMar>
            <w:top w:w="15" w:type="dxa"/>
            <w:left w:w="15" w:type="dxa"/>
            <w:bottom w:w="15" w:type="dxa"/>
            <w:right w:w="15" w:type="dxa"/>
          </w:tblCellMar>
        </w:tblPrEx>
        <w:trPr>
          <w:tblCellSpacing w:w="15" w:type="dxa"/>
        </w:trPr>
        <w:tc>
          <w:tcPr>
            <w:tcW w:w="3499" w:type="dxa"/>
            <w:vAlign w:val="center"/>
          </w:tcPr>
          <w:p w14:paraId="7BE50F3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radovi iznad 45.000,00 EUR</w:t>
            </w:r>
          </w:p>
        </w:tc>
        <w:tc>
          <w:tcPr>
            <w:tcW w:w="5483" w:type="dxa"/>
            <w:vAlign w:val="center"/>
          </w:tcPr>
          <w:p w14:paraId="6090A86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bl>
    <w:p w14:paraId="5A9073E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Vrijednosti iz stavka 1. ovoga članka iskazane su bez poreza na dodanu vrijednost.</w:t>
      </w:r>
    </w:p>
    <w:p w14:paraId="64133CEF">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9.</w:t>
      </w:r>
    </w:p>
    <w:p w14:paraId="565A366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do 15.000,00 eura</w:t>
      </w:r>
    </w:p>
    <w:p w14:paraId="45539FD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Nabava procijenjene vrijednosti do 15.000,00 eura provodi se na način kojim se osigurava ekonomično i učinkovito trošenje javnih sredstava.</w:t>
      </w:r>
    </w:p>
    <w:p w14:paraId="497BFD4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Nabava se može provesti:</w:t>
      </w:r>
    </w:p>
    <w:p w14:paraId="55B34203">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izdavanjem narudžbenice, </w:t>
      </w:r>
    </w:p>
    <w:p w14:paraId="29B8DCBD">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sklapanjem ugovora, </w:t>
      </w:r>
    </w:p>
    <w:p w14:paraId="34B4B3E8">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prihvatom ponude gospodarskog subjekta. </w:t>
      </w:r>
    </w:p>
    <w:p w14:paraId="1C5AA65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Prije donošenja odluke o odabiru preporučuje se ispitivanje tržišta kada je to moguće i svrhovito.</w:t>
      </w:r>
    </w:p>
    <w:p w14:paraId="7BDFAEC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priroda predmeta nabave dopušta tržišno natjecanje, u pravilu se pribavlja jedna ili više informativnih ili obvezujućih ponuda.</w:t>
      </w:r>
    </w:p>
    <w:p w14:paraId="14E8A23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Broj prikupljenih ponuda ovisi o predmetu nabave, stanju na tržištu i načelu ekonomičnosti te nije unaprijed propisan.</w:t>
      </w:r>
    </w:p>
    <w:p w14:paraId="4632F6FA">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10.</w:t>
      </w:r>
    </w:p>
    <w:p w14:paraId="1421ECA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veće od 15.000,00 eura</w:t>
      </w:r>
    </w:p>
    <w:p w14:paraId="7F06731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Postupak jednostavne nabave procijenjene vrijednosti veće od 15.000,00 eura obvezno se provodi putem modula jednostavne nabave u EOJN RH.</w:t>
      </w:r>
    </w:p>
    <w:p w14:paraId="1721FD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odnosno poziv na dostavu ponuda objavljuje se ili dostavlja putem EOJN RH, ovisno o vrijednosti nabave i odredbama ovoga Pravilnika.</w:t>
      </w:r>
    </w:p>
    <w:p w14:paraId="5B9F0EF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Komunikacija između Naručiteljai gospodarskih subjekata provodi se putem EOJN RH, osim ako zbog tehničkih razloga to nije moguće.</w:t>
      </w:r>
    </w:p>
    <w:p w14:paraId="35B240D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se dostavljaju isključivo putem EOJN RH.</w:t>
      </w:r>
    </w:p>
    <w:p w14:paraId="3B769241">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11.</w:t>
      </w:r>
    </w:p>
    <w:p w14:paraId="207FCFAA">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bez javne objave</w:t>
      </w:r>
    </w:p>
    <w:p w14:paraId="7172B93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nabavu:</w:t>
      </w:r>
    </w:p>
    <w:p w14:paraId="071CC116">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robe i usluga procijenjene vrijednosti veće od 15.000,00 eura do 25.000,00 eura, </w:t>
      </w:r>
    </w:p>
    <w:p w14:paraId="2E073C4C">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radova procijenjene vrijednosti veće od 15.000,00 eura do 45.000,00 eura, </w:t>
      </w:r>
    </w:p>
    <w:p w14:paraId="0B4743F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upućuje poziv na dostavu ponuda putem EOJN RH najmanje trojici gospodarskih subjekata, ako na tržištu postoji dovoljan broj gospodarskih subjekata.</w:t>
      </w:r>
    </w:p>
    <w:p w14:paraId="7D2DBFA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14:paraId="25E9445E">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Prilikom odabira gospodarskih subjekata Naručitelj vodi računa o poticanju tržišnog natjecanja te, kada je to moguće, izbjegava učestalo pozivanje istih gospodarskih subjekata.</w:t>
      </w:r>
    </w:p>
    <w:p w14:paraId="61E8EDED">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12.</w:t>
      </w:r>
    </w:p>
    <w:p w14:paraId="0439DEE1">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s javnom objavom</w:t>
      </w:r>
    </w:p>
    <w:p w14:paraId="32131B9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nabavu robe i usluga procijenjene vrijednosti veće od 25.000,00 eura te radova procijenjene vrijednosti veće od 45.000,00 eura poziv na dostavu ponuda obvezno se javno objavljuje u modulu jednostavne nabave EOJN RH.</w:t>
      </w:r>
    </w:p>
    <w:p w14:paraId="1A55437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mora biti izrađena na jasan, nedvojben i razumljiv način kako bi svim gospodarskim subjektima omogućila izradu usporedivih ponuda.</w:t>
      </w:r>
    </w:p>
    <w:p w14:paraId="58122CE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Javno objavljeni poziv mora sadržavati najmanje:</w:t>
      </w:r>
    </w:p>
    <w:p w14:paraId="49AE03DF">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naručitelja, </w:t>
      </w:r>
    </w:p>
    <w:p w14:paraId="4064B459">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14:paraId="3E361A4D">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14:paraId="6FE89A05">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kada je primjenjivo, </w:t>
      </w:r>
    </w:p>
    <w:p w14:paraId="4CD39C71">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14:paraId="31428716">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za dostavu ponuda, </w:t>
      </w:r>
    </w:p>
    <w:p w14:paraId="1C16CB02">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dostave ponuda, </w:t>
      </w:r>
    </w:p>
    <w:p w14:paraId="1300C547">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14:paraId="69896588">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podatke potrebne za izradu ponude. </w:t>
      </w:r>
    </w:p>
    <w:p w14:paraId="4790FD32">
      <w:pPr>
        <w:numPr>
          <w:ilvl w:val="0"/>
          <w:numId w:val="8"/>
        </w:numPr>
        <w:spacing w:after="0" w:line="276" w:lineRule="auto"/>
        <w:jc w:val="both"/>
        <w:rPr>
          <w:rFonts w:eastAsia="Times New Roman" w:cstheme="minorHAnsi"/>
          <w:sz w:val="24"/>
          <w:szCs w:val="24"/>
          <w:lang w:eastAsia="hr-HR"/>
        </w:rPr>
      </w:pPr>
    </w:p>
    <w:p w14:paraId="69BAFC0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 IZNIMKE OD JAVNE OBJAVE</w:t>
      </w:r>
    </w:p>
    <w:p w14:paraId="73B357E6">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13.</w:t>
      </w:r>
    </w:p>
    <w:p w14:paraId="3DC5C966">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Iznimke</w:t>
      </w:r>
    </w:p>
    <w:p w14:paraId="5B09D2B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Iznimno od članka 12. ovoga Pravilnika, Naručitelj nije obvezan provesti javnu objavu u modulu jednostavne nabave EOJN RH u slučajevima propisanim člankom 15. stavkom 7. Zakona o javnoj nabavi.</w:t>
      </w:r>
    </w:p>
    <w:p w14:paraId="0384F52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Javni poziv nije obvezan ako:</w:t>
      </w:r>
    </w:p>
    <w:p w14:paraId="69F3A801">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prethodno provedenom postupku nije zaprimljena nijedna ponuda ili nijedna valjana ponuda, a uvjeti nabave nisu bitno izmijenjeni, </w:t>
      </w:r>
    </w:p>
    <w:p w14:paraId="35AD8C22">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može izvršiti samo određeni gospodarski subjekt zbog: </w:t>
      </w:r>
    </w:p>
    <w:p w14:paraId="2687E101">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stvaranja ili stjecanja jedinstvenog umjetničkog djela, </w:t>
      </w:r>
    </w:p>
    <w:p w14:paraId="28832114">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tehničkih razloga, </w:t>
      </w:r>
    </w:p>
    <w:p w14:paraId="21D40BBB">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zaštite isključivih prava, uključujući prava intelektualnog vlasništva, </w:t>
      </w:r>
    </w:p>
    <w:p w14:paraId="05A8F8D0">
      <w:pPr>
        <w:numPr>
          <w:ilvl w:val="0"/>
          <w:numId w:val="1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postoji iznimna žurnost uzrokovana okolnostima koje Naručitelj nije mogao predvidjeti niti na njih utjecati. </w:t>
      </w:r>
    </w:p>
    <w:p w14:paraId="3F12344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Razlozi za primjenu iznimke moraju biti jasno navedeni i obrazloženi u dokumentaciji postupka i objavi u EOJN RH, kada je to propisano Zakonom.</w:t>
      </w:r>
    </w:p>
    <w:p w14:paraId="06363119">
      <w:pPr>
        <w:spacing w:after="0" w:line="276" w:lineRule="auto"/>
        <w:jc w:val="both"/>
        <w:rPr>
          <w:rFonts w:eastAsia="Times New Roman" w:cstheme="minorHAnsi"/>
          <w:sz w:val="24"/>
          <w:szCs w:val="24"/>
          <w:lang w:eastAsia="hr-HR"/>
        </w:rPr>
      </w:pPr>
    </w:p>
    <w:p w14:paraId="53E06A92">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 DOKUMENTACIJA O NABAVI I POZIV NA DOSTAVU PONUDA</w:t>
      </w:r>
    </w:p>
    <w:p w14:paraId="12021B48">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14.</w:t>
      </w:r>
    </w:p>
    <w:p w14:paraId="79A84F6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Dokumentacija o nabavi</w:t>
      </w:r>
    </w:p>
    <w:p w14:paraId="6FABED8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provedbu postupka jednostavne nabave izrađuje se dokumentacija o nabavi ili poziv na dostavu ponuda.</w:t>
      </w:r>
    </w:p>
    <w:p w14:paraId="7357547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mora biti jasna, razumljiva i nedvojbena te omogućiti izradu usporedivih ponuda.</w:t>
      </w:r>
    </w:p>
    <w:p w14:paraId="098F300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Dokumentacija o nabavi, ovisno o predmetu nabave, osobito sadrži:</w:t>
      </w:r>
    </w:p>
    <w:p w14:paraId="34B09481">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i podatke o Naručitelju, </w:t>
      </w:r>
    </w:p>
    <w:p w14:paraId="2F7E1E89">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14:paraId="38EF035F">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14:paraId="2F593645">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nabave, kada je primjenjivo, </w:t>
      </w:r>
    </w:p>
    <w:p w14:paraId="49BFF5B7">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14:paraId="726024FA">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 način dostave ponuda, </w:t>
      </w:r>
    </w:p>
    <w:p w14:paraId="41A20B51">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14:paraId="508CC536">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uvjete sposobnosti gospodarskih subjekata, ako se zahtijevaju, </w:t>
      </w:r>
    </w:p>
    <w:p w14:paraId="45B577AB">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osnove za isključenje, ako se primjenjuju, </w:t>
      </w:r>
    </w:p>
    <w:p w14:paraId="0B8ACA5C">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troškovnik ili drugi obrazac za iskazivanje cijene, </w:t>
      </w:r>
    </w:p>
    <w:p w14:paraId="1E2AA205">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ostale podatke potrebne za izradu ponude. </w:t>
      </w:r>
    </w:p>
    <w:p w14:paraId="3115D33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Tehničke specifikacije moraju omogućavati tržišno natjecanje i ne smiju neopravdano pogodovati određenom gospodarskom subjektu.</w:t>
      </w:r>
    </w:p>
    <w:p w14:paraId="0886A6B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14:paraId="60F961EE">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15.</w:t>
      </w:r>
    </w:p>
    <w:p w14:paraId="340DAA27">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Uvjeti sposobnosti</w:t>
      </w:r>
    </w:p>
    <w:p w14:paraId="6F7C5B8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može odrediti uvjete sposobnosti gospodarskih subjekata ako su razmjerni predmetu nabave.</w:t>
      </w:r>
    </w:p>
    <w:p w14:paraId="2B9E00F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Uvjeti sposobnosti mogu se odnositi na:</w:t>
      </w:r>
    </w:p>
    <w:p w14:paraId="2692EB12">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sposobnost za obavljanje profesionalne djelatnosti, </w:t>
      </w:r>
    </w:p>
    <w:p w14:paraId="7EEC31D8">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ekonomsku i financijsku sposobnost, </w:t>
      </w:r>
    </w:p>
    <w:p w14:paraId="67C43130">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tehničku i stručnu sposobnost. </w:t>
      </w:r>
    </w:p>
    <w:p w14:paraId="79E0CED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Dokazi kojima se dokazuje ispunjavanje uvjeta sposobnosti određuju se u dokumentaciji o nabavi.</w:t>
      </w:r>
    </w:p>
    <w:p w14:paraId="1465903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neće zahtijevati dokaze koji nisu razmjerni vrijednosti i složenosti predmeta nabave.</w:t>
      </w:r>
    </w:p>
    <w:p w14:paraId="31DF740F">
      <w:pPr>
        <w:spacing w:after="0" w:line="276" w:lineRule="auto"/>
        <w:jc w:val="both"/>
        <w:rPr>
          <w:rFonts w:eastAsia="Times New Roman" w:cstheme="minorHAnsi"/>
          <w:sz w:val="24"/>
          <w:szCs w:val="24"/>
          <w:lang w:eastAsia="hr-HR"/>
        </w:rPr>
      </w:pPr>
    </w:p>
    <w:p w14:paraId="606B8CC7">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 ROKOVI I DOSTAVA PONUDA</w:t>
      </w:r>
    </w:p>
    <w:p w14:paraId="3D2D9D2E">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16.</w:t>
      </w:r>
    </w:p>
    <w:p w14:paraId="342D0E50">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Rok za dostavu ponuda</w:t>
      </w:r>
    </w:p>
    <w:p w14:paraId="78730A3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Rok za dostavu ponuda određuje se vodeći računa o složenosti predmeta nabave i vremenu potrebnom za pripremu ponude.</w:t>
      </w:r>
    </w:p>
    <w:p w14:paraId="5669F21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Rok za dostavu ponuda u pravilu ne može biti kraći od:</w:t>
      </w:r>
    </w:p>
    <w:p w14:paraId="0B172BDF">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tri (3) radna dana kod postupaka bez javne objave, </w:t>
      </w:r>
    </w:p>
    <w:p w14:paraId="12F56AD1">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pet (5) radnih dana kod postupaka s javnom objavom u EOJN RH. </w:t>
      </w:r>
    </w:p>
    <w:p w14:paraId="7502B0AF">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U posebno opravdanim slučajevima rok može biti kraći ako to ne narušava tržišno natjecanje i jednak tretman gospodarskih subjekata.</w:t>
      </w:r>
    </w:p>
    <w:p w14:paraId="0290E6D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tijekom postupka dođe do bitne izmjene dokumentacije o nabavi, rok za dostavu ponuda produžit će se kako bi gospodarski subjekti imali dovoljno vremena za izradu ponuda.</w:t>
      </w:r>
    </w:p>
    <w:p w14:paraId="734504EC">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17.</w:t>
      </w:r>
    </w:p>
    <w:p w14:paraId="633DE3D8">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Dostava ponuda</w:t>
      </w:r>
    </w:p>
    <w:p w14:paraId="229B4BD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Ponude se dostavljaju na način određen dokumentacijom o nabavi.</w:t>
      </w:r>
    </w:p>
    <w:p w14:paraId="21EE162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 postupcima koji se provode putem modula jednostavne nabave EOJN RH ponude se dostavljaju isključivo putem toga sustava.</w:t>
      </w:r>
    </w:p>
    <w:p w14:paraId="178E1A8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U postupcima do 15.000,00 eura ponude se mogu dostaviti elektroničkom poštom ili drugim dokazivim načinom.</w:t>
      </w:r>
    </w:p>
    <w:p w14:paraId="7A43785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14:paraId="40691BF0">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VIII. PREGLED I OCJENA PONUDA</w:t>
      </w:r>
    </w:p>
    <w:p w14:paraId="68E39BAC">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18.</w:t>
      </w:r>
    </w:p>
    <w:p w14:paraId="43F08DA7">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Otvaranje ponuda</w:t>
      </w:r>
    </w:p>
    <w:p w14:paraId="7D06774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Otvaranje ponuda u postupcima jednostavne nabave nije javno.</w:t>
      </w:r>
    </w:p>
    <w:p w14:paraId="6067513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Nakon isteka roka za dostavu ponuda stručno povjerenstvo pristupa pregledu i ocjeni ponuda.</w:t>
      </w:r>
    </w:p>
    <w:p w14:paraId="0C08AA7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19.</w:t>
      </w:r>
    </w:p>
    <w:p w14:paraId="3DDD5FA5">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Pregled i ocjena ponuda</w:t>
      </w:r>
    </w:p>
    <w:p w14:paraId="3DA0E82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Tijekom pregleda ponuda utvrđuje se osobito:</w:t>
      </w:r>
    </w:p>
    <w:p w14:paraId="5B4D9AD3">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pravodobnost dostave, </w:t>
      </w:r>
    </w:p>
    <w:p w14:paraId="312D9DE0">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ispunjava li ponuditelj propisane uvjete, </w:t>
      </w:r>
    </w:p>
    <w:p w14:paraId="3A4C52B4">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odgovara li ponuđeni predmet zahtjevima dokumentacije, </w:t>
      </w:r>
    </w:p>
    <w:p w14:paraId="354B48C6">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ispravnost izračuna cijene, </w:t>
      </w:r>
    </w:p>
    <w:p w14:paraId="4D2D71BA">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postojanje razloga za odbijanje ponude, </w:t>
      </w:r>
    </w:p>
    <w:p w14:paraId="18319F60">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ostali elementi bitni za odabir. </w:t>
      </w:r>
    </w:p>
    <w:p w14:paraId="4EB9952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14:paraId="2C96950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postoji računska pogreška, Naručitelj može ispraviti pogrešku uz prethodnu suglasnost ponuditelja.</w:t>
      </w:r>
    </w:p>
    <w:p w14:paraId="4575E64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14:paraId="776A60C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ponuditelj ne dostavi prihvatljivo obrazloženje u ostavljenom roku, ponuda se može odbiti.</w:t>
      </w:r>
    </w:p>
    <w:p w14:paraId="62D335A8">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20.</w:t>
      </w:r>
    </w:p>
    <w:p w14:paraId="751BE724">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Razlozi za odbijanje ponude</w:t>
      </w:r>
    </w:p>
    <w:p w14:paraId="627A73B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će odbiti ponudu ako utvrdi da:</w:t>
      </w:r>
    </w:p>
    <w:p w14:paraId="6672D49A">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dostavljena u roku, </w:t>
      </w:r>
    </w:p>
    <w:p w14:paraId="5A1B3EF5">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izrađena u skladu s dokumentacijom o nabavi, </w:t>
      </w:r>
    </w:p>
    <w:p w14:paraId="1AD5E8FC">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ne ispunjava propisane uvjete, </w:t>
      </w:r>
    </w:p>
    <w:p w14:paraId="2734EBD8">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postoje osnove za isključenje ponuditelja, </w:t>
      </w:r>
    </w:p>
    <w:p w14:paraId="4473457C">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ponuđeni predmet ne odgovara tehničkim zahtjevima, </w:t>
      </w:r>
    </w:p>
    <w:p w14:paraId="20295472">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nije prihvatio ispravak računske pogreške, </w:t>
      </w:r>
    </w:p>
    <w:p w14:paraId="0AB63A7A">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dostavljeno prihvatljivo obrazloženje neuobičajeno niske cijene, </w:t>
      </w:r>
    </w:p>
    <w:p w14:paraId="02DE24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postoje drugi razlozi propisani dokumentacijom o nabavi ili Zakonom. </w:t>
      </w:r>
    </w:p>
    <w:p w14:paraId="4B69979B">
      <w:pPr>
        <w:spacing w:after="0" w:line="276" w:lineRule="auto"/>
        <w:ind w:left="720"/>
        <w:jc w:val="both"/>
        <w:rPr>
          <w:rFonts w:eastAsia="Times New Roman" w:cstheme="minorHAnsi"/>
          <w:sz w:val="24"/>
          <w:szCs w:val="24"/>
          <w:lang w:eastAsia="hr-HR"/>
        </w:rPr>
      </w:pPr>
    </w:p>
    <w:p w14:paraId="77F337B9">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IX. KRITERIJ ZA ODABIR PONUDE</w:t>
      </w:r>
    </w:p>
    <w:p w14:paraId="126EC37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21.</w:t>
      </w:r>
    </w:p>
    <w:p w14:paraId="32A971F6">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Kriteriji za odabir</w:t>
      </w:r>
    </w:p>
    <w:p w14:paraId="5D7203E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Kriterij za odabir ponude može biti:</w:t>
      </w:r>
    </w:p>
    <w:p w14:paraId="65E6D0D9">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najniža cijena ili </w:t>
      </w:r>
    </w:p>
    <w:p w14:paraId="579C9FBB">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ekonomski najpovoljnija ponuda. </w:t>
      </w:r>
    </w:p>
    <w:p w14:paraId="41C45DE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je kriterij ekonomski najpovoljnija ponuda, mogu se primijeniti jedan ili više kriterija, osobito:</w:t>
      </w:r>
    </w:p>
    <w:p w14:paraId="205C21BB">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kvaliteta, </w:t>
      </w:r>
    </w:p>
    <w:p w14:paraId="72BF40AF">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funkcionalna i tehnička svojstva, </w:t>
      </w:r>
    </w:p>
    <w:p w14:paraId="6C9ACBB8">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trošak životnog vijeka, </w:t>
      </w:r>
    </w:p>
    <w:p w14:paraId="1A268C95">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isporuke ili izvršenja, </w:t>
      </w:r>
    </w:p>
    <w:p w14:paraId="77E00C66">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jamstveni rok, </w:t>
      </w:r>
    </w:p>
    <w:p w14:paraId="55F59F90">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organizacija i kvalifikacije osoba koje će izvršavati ugovor, </w:t>
      </w:r>
    </w:p>
    <w:p w14:paraId="1BAA6245">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servis i održavanje, </w:t>
      </w:r>
    </w:p>
    <w:p w14:paraId="54743AEE">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energetska učinkovitost, </w:t>
      </w:r>
    </w:p>
    <w:p w14:paraId="51D9AD0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okolišna svojstva, </w:t>
      </w:r>
    </w:p>
    <w:p w14:paraId="7B21FB64">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drugi kriteriji povezani s predmetom nabave. </w:t>
      </w:r>
    </w:p>
    <w:p w14:paraId="6B7212D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Svi kriteriji, njihova relativna važnost i način bodovanja moraju biti unaprijed određeni u dokumentaciji o nabavi.</w:t>
      </w:r>
    </w:p>
    <w:p w14:paraId="75D32C3F">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22.</w:t>
      </w:r>
    </w:p>
    <w:p w14:paraId="3AA0ABDA">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Zapisnik o pregledu i ocjeni ponuda</w:t>
      </w:r>
    </w:p>
    <w:p w14:paraId="487EB2D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 pregledu i ocjeni ponuda sastavlja se zapisnik.</w:t>
      </w:r>
    </w:p>
    <w:p w14:paraId="67E6261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Zapisnik sadrži najmanje:</w:t>
      </w:r>
    </w:p>
    <w:p w14:paraId="42A52EB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postupku, </w:t>
      </w:r>
    </w:p>
    <w:p w14:paraId="3DF9F227">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popis zaprimljenih ponuda, </w:t>
      </w:r>
    </w:p>
    <w:p w14:paraId="14968874">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 ispunjavanja uvjeta, </w:t>
      </w:r>
    </w:p>
    <w:p w14:paraId="4987E002">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rezultate pregleda i ocjene, </w:t>
      </w:r>
    </w:p>
    <w:p w14:paraId="0FD1F406">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razloge odbijanja pojedinih ponuda, ako postoje, </w:t>
      </w:r>
    </w:p>
    <w:p w14:paraId="285C32AB">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rangiranje ponuda, </w:t>
      </w:r>
    </w:p>
    <w:p w14:paraId="5AFD0D85">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prijedlog za donošenje odluke o odabiru ili poništenju. </w:t>
      </w:r>
    </w:p>
    <w:p w14:paraId="71B15A4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Zapisnik potpisuju članovi stručnog povjerenstva.</w:t>
      </w:r>
    </w:p>
    <w:p w14:paraId="1DD36B6D">
      <w:pPr>
        <w:spacing w:after="0" w:line="276" w:lineRule="auto"/>
        <w:jc w:val="both"/>
        <w:rPr>
          <w:rFonts w:eastAsia="Times New Roman" w:cstheme="minorHAnsi"/>
          <w:sz w:val="24"/>
          <w:szCs w:val="24"/>
          <w:lang w:eastAsia="hr-HR"/>
        </w:rPr>
      </w:pPr>
    </w:p>
    <w:p w14:paraId="0BAE0A26">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 ODLUKA O ODABIRU I PONIŠTENJE POSTUPKA</w:t>
      </w:r>
    </w:p>
    <w:p w14:paraId="047F4672">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23.</w:t>
      </w:r>
    </w:p>
    <w:p w14:paraId="443DBD79">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Odluka o odabiru</w:t>
      </w:r>
    </w:p>
    <w:p w14:paraId="05A614B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Nakon pregleda i ocjene ponuda, na temelju prijedloga stručnog povjerenstva, ravnatelj donosi odluku o odabiru najpovoljnije ponude.</w:t>
      </w:r>
    </w:p>
    <w:p w14:paraId="63CB5E5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odabiru mora sadržavati najmanje:</w:t>
      </w:r>
    </w:p>
    <w:p w14:paraId="39D2934A">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Naručitelju, </w:t>
      </w:r>
    </w:p>
    <w:p w14:paraId="58BE8678">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predmetu nabave, </w:t>
      </w:r>
    </w:p>
    <w:p w14:paraId="3069DC9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odabranog ponuditelja, </w:t>
      </w:r>
    </w:p>
    <w:p w14:paraId="7087C9EA">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odabrane ponude, </w:t>
      </w:r>
    </w:p>
    <w:p w14:paraId="6AE927A7">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prema kojem je ponuda odabrana, </w:t>
      </w:r>
    </w:p>
    <w:p w14:paraId="3BF25734">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obrazloženje razloga odabira, </w:t>
      </w:r>
    </w:p>
    <w:p w14:paraId="53705E06">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podatak o roku za podnošenje prigovora, kada je primjenjivo. </w:t>
      </w:r>
    </w:p>
    <w:p w14:paraId="380D3AD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odabiru dostavlja se ponuditeljima na način određen dokumentacijom o nabavi.</w:t>
      </w:r>
    </w:p>
    <w:p w14:paraId="53689B5E">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U postupcima koji se provode putem modula jednostavne nabave EOJN RH odluka o odabiru objavljuje se putem EOJN RH, sukladno pravilima tog sustava.</w:t>
      </w:r>
    </w:p>
    <w:p w14:paraId="7BA3243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24.</w:t>
      </w:r>
    </w:p>
    <w:p w14:paraId="1C74E8AC">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Odluka o poništenju postupka</w:t>
      </w:r>
    </w:p>
    <w:p w14:paraId="57FF696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može donijeti odluku o poništenju postupka jednostavne nabave ako:</w:t>
      </w:r>
    </w:p>
    <w:p w14:paraId="7E8067BB">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pristigla nijedna ponuda, </w:t>
      </w:r>
    </w:p>
    <w:p w14:paraId="5F3F8510">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nisu pristigle prihvatljive ili prikladne ponude, </w:t>
      </w:r>
    </w:p>
    <w:p w14:paraId="48938EEC">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nakon provedbe postupka nije moguće izvršiti nabavu pod uvjetima određenim dokumentacijom, </w:t>
      </w:r>
    </w:p>
    <w:p w14:paraId="40AA597D">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okolnosti zbog kojih je prestala potreba za nabavom, </w:t>
      </w:r>
    </w:p>
    <w:p w14:paraId="580F1966">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druge okolnosti zbog kojih nastavak postupka nije opravdan. </w:t>
      </w:r>
    </w:p>
    <w:p w14:paraId="7EDAEEC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poništenju mora sadržavati obrazloženje razloga poništenja.</w:t>
      </w:r>
    </w:p>
    <w:p w14:paraId="43B1ECCE">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poništenju dostavlja se ponuditeljima na način određen dokumentacijom o nabavi.</w:t>
      </w:r>
    </w:p>
    <w:p w14:paraId="22B01CD5">
      <w:pPr>
        <w:spacing w:after="0" w:line="276" w:lineRule="auto"/>
        <w:jc w:val="both"/>
        <w:rPr>
          <w:rFonts w:eastAsia="Times New Roman" w:cstheme="minorHAnsi"/>
          <w:sz w:val="24"/>
          <w:szCs w:val="24"/>
          <w:lang w:eastAsia="hr-HR"/>
        </w:rPr>
      </w:pPr>
    </w:p>
    <w:p w14:paraId="06D60AC5">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 PRAVNA ZAŠTITA – PRIGOVOR</w:t>
      </w:r>
    </w:p>
    <w:p w14:paraId="2B0933DC">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25.</w:t>
      </w:r>
    </w:p>
    <w:p w14:paraId="05537562">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Pravo na prigovor</w:t>
      </w:r>
    </w:p>
    <w:p w14:paraId="2998C98E">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14:paraId="0F66F02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Prigovor se može podnijeti osobito zbog:</w:t>
      </w:r>
    </w:p>
    <w:p w14:paraId="5CA2D6E6">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povrede načela javne nabave, </w:t>
      </w:r>
    </w:p>
    <w:p w14:paraId="00B994F6">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nepravilnosti u postupku, </w:t>
      </w:r>
    </w:p>
    <w:p w14:paraId="111B0CC7">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diskriminirajućih uvjeta, </w:t>
      </w:r>
    </w:p>
    <w:p w14:paraId="51D4C101">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nepravilnosti kod pregleda i ocjene ponuda, </w:t>
      </w:r>
    </w:p>
    <w:p w14:paraId="566A24B8">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nezakonite odluke o odabiru ili poništenju. </w:t>
      </w:r>
    </w:p>
    <w:p w14:paraId="6FAE6746">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Prigovor se podnosi u roku od pet (5) radnih  dana od dana primitka odluke ili druge radnje na koju se odnosi.</w:t>
      </w:r>
    </w:p>
    <w:p w14:paraId="7E29529F">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Prigovor mora sadržavati najmanje:</w:t>
      </w:r>
    </w:p>
    <w:p w14:paraId="154D7BBA">
      <w:pPr>
        <w:pStyle w:val="12"/>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gospodarskom subjektu koji podnosi prigovor, </w:t>
      </w:r>
    </w:p>
    <w:p w14:paraId="6C5B8FCE">
      <w:pPr>
        <w:pStyle w:val="12"/>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oznaku postupka jednostavne nabave, </w:t>
      </w:r>
    </w:p>
    <w:p w14:paraId="4C61D34E">
      <w:pPr>
        <w:pStyle w:val="12"/>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radnju Naručitelja na koju se prigovor odnosi, </w:t>
      </w:r>
    </w:p>
    <w:p w14:paraId="763C2F87">
      <w:pPr>
        <w:pStyle w:val="12"/>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razloge prigovora i obrazloženje,</w:t>
      </w:r>
    </w:p>
    <w:p w14:paraId="715E2018">
      <w:pPr>
        <w:pStyle w:val="12"/>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prijedlog načina otklanjanja navodne nepravilnosti.</w:t>
      </w:r>
    </w:p>
    <w:p w14:paraId="6F1BCC7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Podnošenje prigovora ne odgađa provedbu postupka jednostavne nabave, osim ako ravnatelj ocijeni da bi nastavak postupka mogao utjecati na zakonitost postupka ili uzrokovati štetu Naručitelju ili gospodarskim subjektima.</w:t>
      </w:r>
    </w:p>
    <w:p w14:paraId="58B33A1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26.</w:t>
      </w:r>
    </w:p>
    <w:p w14:paraId="7B6AA379">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Postupanje po prigovoru</w:t>
      </w:r>
    </w:p>
    <w:p w14:paraId="4CF14AED">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razmatra osnovanost prigovora i donosi odluku o prigovoru u roku od 10 dana od dana njegova zaprimanja.</w:t>
      </w:r>
    </w:p>
    <w:p w14:paraId="0C21078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Odlukom o prigovoru može se:</w:t>
      </w:r>
    </w:p>
    <w:p w14:paraId="4C3B64D9">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odbaciti prigovor kao nepravodoban ili nedopušten, </w:t>
      </w:r>
    </w:p>
    <w:p w14:paraId="458FBC90">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odbiti prigovor kao neosnovan, </w:t>
      </w:r>
    </w:p>
    <w:p w14:paraId="593D95C0">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usvojiti prigovor i poduzeti odgovarajuće mjere radi otklanjanja nepravilnosti. </w:t>
      </w:r>
    </w:p>
    <w:p w14:paraId="0698D39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prigovoru dostavlja se podnositelju prigovora bez odgode.</w:t>
      </w:r>
    </w:p>
    <w:p w14:paraId="646D178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14:paraId="35842546">
      <w:pPr>
        <w:spacing w:after="0" w:line="276" w:lineRule="auto"/>
        <w:jc w:val="both"/>
        <w:rPr>
          <w:rFonts w:eastAsia="Times New Roman" w:cstheme="minorHAnsi"/>
          <w:sz w:val="24"/>
          <w:szCs w:val="24"/>
          <w:lang w:eastAsia="hr-HR"/>
        </w:rPr>
      </w:pPr>
    </w:p>
    <w:p w14:paraId="63236AD8">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 SKLAPANJE I IZVRŠENJE UGOVORA</w:t>
      </w:r>
    </w:p>
    <w:p w14:paraId="6B73702E">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27.</w:t>
      </w:r>
    </w:p>
    <w:p w14:paraId="2C0F98F9">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Ugovor ili narudžbenica</w:t>
      </w:r>
    </w:p>
    <w:p w14:paraId="27744ECD">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Nakon donošenja odluke o odabiru može se pristupiti sklapanju ugovora ili izdavanju narudžbenice.</w:t>
      </w:r>
    </w:p>
    <w:p w14:paraId="3BE1DEB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Ugovor ili narudžbenica mora sadržavati najmanje:</w:t>
      </w:r>
    </w:p>
    <w:p w14:paraId="6CC3C63D">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w:t>
      </w:r>
    </w:p>
    <w:p w14:paraId="28263933">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ugovorne strane, </w:t>
      </w:r>
    </w:p>
    <w:p w14:paraId="4E888D52">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w:t>
      </w:r>
    </w:p>
    <w:p w14:paraId="4B141D6A">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 način izvršenja, </w:t>
      </w:r>
    </w:p>
    <w:p w14:paraId="32F99C96">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ugovornih strana. </w:t>
      </w:r>
    </w:p>
    <w:p w14:paraId="0513EB0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Za nabave manje vrijednosti ugovor se može zamijeniti prihvatom ponude ili izdavanjem narudžbenice, ako je takav način primjeren predmetu nabave.</w:t>
      </w:r>
    </w:p>
    <w:p w14:paraId="202180D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je u postupku jednostavne nabave podnesen prigovor, ugovor o nabavi odnosno narudžbenica ne može se sklopiti prije donošenja odluke o prigovoru.</w:t>
      </w:r>
    </w:p>
    <w:p w14:paraId="7C2FCA94">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28.</w:t>
      </w:r>
    </w:p>
    <w:p w14:paraId="45FD2B9B">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Izmjene i raskid ugovora</w:t>
      </w:r>
    </w:p>
    <w:p w14:paraId="2923BE4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Izmjene ugovora o jednostavnoj nabavi dopuštene su ako ne mijenjaju bitno predmet nabave, ugovorne uvjete i svrhu sklopljenog ugovora.</w:t>
      </w:r>
    </w:p>
    <w:p w14:paraId="3CD16C8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 izmjene ugovora na odgovarajući način mogu se primijeniti načela i pravila Zakona o javnoj nabavi koja uređuju izmjene ugovora o javnoj nabavi.</w:t>
      </w:r>
    </w:p>
    <w:p w14:paraId="560E37C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Svaka izmjena ugovora mora biti obrazložena i dokumentirana.</w:t>
      </w:r>
    </w:p>
    <w:p w14:paraId="2D15A970">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može raskinuti ugovor o nabavi ako gospodarski subjekt ne izvršava ugovorene obveze ili ih izvršava protivno ugovoru.</w:t>
      </w:r>
    </w:p>
    <w:p w14:paraId="66A2EF6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Prije raskida ugovora Naručitelj će, ako je to moguće, pisanim putem pozvati gospodarski subjekt da u primjerenom roku otkloni utvrđene nepravilnosti.</w:t>
      </w:r>
    </w:p>
    <w:p w14:paraId="102014E1">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Ako gospodarski subjekt u ostavljenom roku ne otkloni nepravilnosti, Naručitelj može donijeti  odluku o raskidu ugovora</w:t>
      </w:r>
    </w:p>
    <w:p w14:paraId="314EC8AA">
      <w:pPr>
        <w:spacing w:after="0" w:line="276" w:lineRule="auto"/>
        <w:jc w:val="both"/>
        <w:rPr>
          <w:rFonts w:eastAsia="Times New Roman" w:cstheme="minorHAnsi"/>
          <w:sz w:val="24"/>
          <w:szCs w:val="24"/>
          <w:lang w:eastAsia="hr-HR"/>
        </w:rPr>
      </w:pPr>
    </w:p>
    <w:p w14:paraId="302D1C68">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XIII. DOKUMENTIRANJE I ČUVANJE DOKUMENTACIJE</w:t>
      </w:r>
    </w:p>
    <w:p w14:paraId="2B650EA7">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29.</w:t>
      </w:r>
    </w:p>
    <w:p w14:paraId="5B693730">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Evidencija i registar ugovora</w:t>
      </w:r>
    </w:p>
    <w:p w14:paraId="4B46C35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vodi evidenciju provedenih postupaka jednostavne nabave.</w:t>
      </w:r>
    </w:p>
    <w:p w14:paraId="2700ADD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postupku osobito sadrži:</w:t>
      </w:r>
    </w:p>
    <w:p w14:paraId="1289545F">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početku postupka, kada se donosi, </w:t>
      </w:r>
    </w:p>
    <w:p w14:paraId="6CF0BA41">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dokumentaciju o nabavi, </w:t>
      </w:r>
    </w:p>
    <w:p w14:paraId="7522165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pozive gospodarskim subjektima, </w:t>
      </w:r>
    </w:p>
    <w:p w14:paraId="5764A3E9">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zaprimljene ponude, </w:t>
      </w:r>
    </w:p>
    <w:p w14:paraId="6D99C367">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zapisnik o pregledu i ocjeni, </w:t>
      </w:r>
    </w:p>
    <w:p w14:paraId="25C2C046">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odabiru ili poništenju, </w:t>
      </w:r>
    </w:p>
    <w:p w14:paraId="673930B0">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 ili narudžbenicu, </w:t>
      </w:r>
    </w:p>
    <w:p w14:paraId="54935738">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drugu dokumentaciju nastalu tijekom postupka. </w:t>
      </w:r>
    </w:p>
    <w:p w14:paraId="204FF03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Dokumentacija se čuva sukladno propisima kojima se uređuje arhiviranje i čuvanje dokumentarnog gradiva.</w:t>
      </w:r>
    </w:p>
    <w:p w14:paraId="42CB8F17">
      <w:pPr>
        <w:spacing w:after="0" w:line="276" w:lineRule="auto"/>
        <w:jc w:val="both"/>
        <w:rPr>
          <w:rFonts w:eastAsia="Times New Roman" w:cstheme="minorHAnsi"/>
          <w:bCs/>
          <w:sz w:val="24"/>
          <w:szCs w:val="24"/>
          <w:lang w:eastAsia="hr-HR"/>
        </w:rPr>
      </w:pPr>
      <w:r>
        <w:rPr>
          <w:rFonts w:eastAsia="Times New Roman" w:cstheme="minorHAnsi"/>
          <w:sz w:val="24"/>
          <w:szCs w:val="24"/>
          <w:lang w:eastAsia="hr-HR"/>
        </w:rPr>
        <w:t>(4)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14:paraId="0DB88EC9">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30.</w:t>
      </w:r>
    </w:p>
    <w:p w14:paraId="53402A5B">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Objavljivanje Pravilnika</w:t>
      </w:r>
    </w:p>
    <w:p w14:paraId="47546076">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Ovaj Pravilnik, kao i njegove izmjene i dopune, objavljuju se na mrežnim stranicama Naručitelja.</w:t>
      </w:r>
    </w:p>
    <w:p w14:paraId="6F7AD0BF">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Naručitelj je obvezan ovaj Pravilnik učiniti dostupnim u Elektroničkom oglasniku javne nabave Republike Hrvatske (EOJN RH), sukladno Zakonu o javnoj nabavi.</w:t>
      </w:r>
    </w:p>
    <w:p w14:paraId="4B107AC6">
      <w:pPr>
        <w:spacing w:after="0" w:line="276" w:lineRule="auto"/>
        <w:jc w:val="both"/>
        <w:rPr>
          <w:rFonts w:eastAsia="Times New Roman" w:cstheme="minorHAnsi"/>
          <w:sz w:val="24"/>
          <w:szCs w:val="24"/>
          <w:lang w:eastAsia="hr-HR"/>
        </w:rPr>
      </w:pPr>
    </w:p>
    <w:p w14:paraId="06F9AE59">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XIV. PRIJELAZNE I ZAVRŠNE ODREDBE</w:t>
      </w:r>
    </w:p>
    <w:p w14:paraId="361321F9">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31.</w:t>
      </w:r>
    </w:p>
    <w:p w14:paraId="7C7CFE0D">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Usklađivanje postupaka</w:t>
      </w:r>
    </w:p>
    <w:p w14:paraId="711F7CB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14:paraId="5D85798A">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Odredbe ovoga Pravilnika koje se odnose na provedbu postupaka putem modula jednostavne nabave EOJN RH primjenjuju se od dana početka obvezne primjene tog modula, sukladno Zakonu o javnoj nabavi.</w:t>
      </w:r>
    </w:p>
    <w:p w14:paraId="42E1A35D">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32.</w:t>
      </w:r>
    </w:p>
    <w:p w14:paraId="60A7E2D1">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Ograničenje vrijednosti ugovora tijekom izvršenja</w:t>
      </w:r>
    </w:p>
    <w:p w14:paraId="64C218AE">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Tijekom izvršenja ugovora o nabavi sklopljenog u postupku jednostavne nabave ukupna vrijednost ugovora, uključujući sve izmjene i dodatke ugovoru, ne smije prijeći financijski prag nakon kojeg se prema ovom Pravilniku primjenjuju drugačija postupovna pravila provedbe nabave.</w:t>
      </w:r>
    </w:p>
    <w:p w14:paraId="7567799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bi izmjena ugovora dovela do povećanja vrijednosti ugovora iznad financijskog praga iz stavka 1. ovoga članka, Naručitelj je dužan provesti novi postupak nabave sukladno pravilima koja se primjenjuju za odgovarajući financijski prag.</w:t>
      </w:r>
    </w:p>
    <w:p w14:paraId="1BF1D1F9">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Prilikom odlučivanja o izmjeni ugovora Naručitelj je dužan uzeti u obzir ukupnu procijenjenu vrijednost ugovora nakon predložene izmjene.</w:t>
      </w:r>
    </w:p>
    <w:p w14:paraId="1181C70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14:paraId="78EE9E20">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33.</w:t>
      </w:r>
    </w:p>
    <w:p w14:paraId="1382664A">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Zaštita podataka, javnost postupka i poslovna tajna</w:t>
      </w:r>
    </w:p>
    <w:p w14:paraId="33E367EE">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 (1)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5AB93B98">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Osobni podaci obrađuju se u skladu s Uredbom (EU) 2016/679 (Opća uredba o zaštiti podataka – GDPR) i Zakonom o provedbi Opće uredbe o zaštiti podataka.</w:t>
      </w:r>
    </w:p>
    <w:p w14:paraId="689B5CE2">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14:paraId="61BD916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14:paraId="7C832F96">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14:paraId="4391DA0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14:paraId="31CF6A94">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4FDD305">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(8) Naručitelj objavljuje odluke o odabiru i poništenju postupka jednostavne nabave na način određen ovim Pravilnikom i pozivom na dostavu ponuda, uz obvezno osiguravanje transparentnosti postupka i zaštite podataka koji se ne smiju javno objaviti.</w:t>
      </w:r>
    </w:p>
    <w:p w14:paraId="29C57308">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34.</w:t>
      </w:r>
    </w:p>
    <w:p w14:paraId="2DF55965">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Stupanje na snagu</w:t>
      </w:r>
    </w:p>
    <w:p w14:paraId="25B26F9D">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Ovaj Pravilnik stupa na snagu osmog dana od dana objave na mrežnim stranicama Naručitelja.</w:t>
      </w:r>
    </w:p>
    <w:p w14:paraId="4879206E">
      <w:pPr>
        <w:spacing w:after="0" w:line="276" w:lineRule="auto"/>
        <w:jc w:val="both"/>
        <w:rPr>
          <w:rFonts w:hint="default" w:eastAsia="Times New Roman" w:cstheme="minorHAnsi"/>
          <w:sz w:val="24"/>
          <w:szCs w:val="24"/>
          <w:lang w:val="en-US" w:eastAsia="hr-HR"/>
        </w:rPr>
      </w:pPr>
      <w:r>
        <w:rPr>
          <w:rFonts w:eastAsia="Times New Roman" w:cstheme="minorHAnsi"/>
          <w:sz w:val="24"/>
          <w:szCs w:val="24"/>
          <w:lang w:eastAsia="hr-HR"/>
        </w:rPr>
        <w:t xml:space="preserve">(2) Danom stupanja na snagu ovoga Pravilnika prestaje važiti prethodni Pravilnik o </w:t>
      </w:r>
      <w:r>
        <w:rPr>
          <w:rFonts w:hint="default" w:eastAsia="Times New Roman" w:cstheme="minorHAnsi"/>
          <w:sz w:val="24"/>
          <w:szCs w:val="24"/>
          <w:lang w:val="en-US" w:eastAsia="hr-HR"/>
        </w:rPr>
        <w:t xml:space="preserve">provedbi postupka jednostavne nabave u Osnovnoj školi Opuzen (KLASA: 003-06/17-01/168; URBROJ: 2148-16/17-01) od dana 25. svibnja 2017. godine. </w:t>
      </w:r>
    </w:p>
    <w:p w14:paraId="47B5A846">
      <w:pPr>
        <w:spacing w:after="0" w:line="276" w:lineRule="auto"/>
        <w:jc w:val="both"/>
        <w:rPr>
          <w:rFonts w:eastAsia="Times New Roman" w:cstheme="minorHAnsi"/>
          <w:sz w:val="24"/>
          <w:szCs w:val="24"/>
          <w:lang w:eastAsia="hr-HR"/>
        </w:rPr>
      </w:pPr>
    </w:p>
    <w:p w14:paraId="03A2978C">
      <w:pPr>
        <w:spacing w:after="0" w:line="276" w:lineRule="auto"/>
        <w:jc w:val="both"/>
        <w:rPr>
          <w:rFonts w:eastAsia="Times New Roman" w:cstheme="minorHAnsi"/>
          <w:sz w:val="24"/>
          <w:szCs w:val="24"/>
          <w:lang w:eastAsia="hr-HR"/>
        </w:rPr>
      </w:pPr>
      <w:r>
        <w:rPr>
          <w:rFonts w:eastAsia="Times New Roman" w:cstheme="minorHAnsi"/>
          <w:b/>
          <w:bCs/>
          <w:sz w:val="24"/>
          <w:szCs w:val="24"/>
          <w:lang w:eastAsia="hr-HR"/>
        </w:rPr>
        <w:t>KLASA:</w:t>
      </w:r>
      <w:r>
        <w:rPr>
          <w:rFonts w:eastAsia="Times New Roman" w:cstheme="minorHAnsi"/>
          <w:sz w:val="24"/>
          <w:szCs w:val="24"/>
          <w:lang w:eastAsia="hr-HR"/>
        </w:rPr>
        <w:t>____________</w:t>
      </w:r>
      <w:r>
        <w:rPr>
          <w:rFonts w:eastAsia="Times New Roman" w:cstheme="minorHAnsi"/>
          <w:sz w:val="24"/>
          <w:szCs w:val="24"/>
          <w:lang w:eastAsia="hr-HR"/>
        </w:rPr>
        <w:br w:type="textWrapping"/>
      </w:r>
      <w:r>
        <w:rPr>
          <w:rFonts w:eastAsia="Times New Roman" w:cstheme="minorHAnsi"/>
          <w:b/>
          <w:bCs/>
          <w:sz w:val="24"/>
          <w:szCs w:val="24"/>
          <w:lang w:eastAsia="hr-HR"/>
        </w:rPr>
        <w:t>URBROJ:</w:t>
      </w:r>
      <w:r>
        <w:rPr>
          <w:rFonts w:eastAsia="Times New Roman" w:cstheme="minorHAnsi"/>
          <w:sz w:val="24"/>
          <w:szCs w:val="24"/>
          <w:lang w:eastAsia="hr-HR"/>
        </w:rPr>
        <w:t xml:space="preserve"> ____________</w:t>
      </w:r>
    </w:p>
    <w:p w14:paraId="3BFFCA3B">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w:t>
      </w:r>
      <w:r>
        <w:rPr>
          <w:rFonts w:hint="default" w:eastAsia="Times New Roman" w:cstheme="minorHAnsi"/>
          <w:sz w:val="24"/>
          <w:szCs w:val="24"/>
          <w:lang w:val="en-US" w:eastAsia="hr-HR"/>
        </w:rPr>
        <w:t>Opuzenu</w:t>
      </w:r>
      <w:r>
        <w:rPr>
          <w:rFonts w:eastAsia="Times New Roman" w:cstheme="minorHAnsi"/>
          <w:sz w:val="24"/>
          <w:szCs w:val="24"/>
          <w:lang w:eastAsia="hr-HR"/>
        </w:rPr>
        <w:t>, __________ 2026. godine</w:t>
      </w:r>
    </w:p>
    <w:p w14:paraId="0C2B24CA">
      <w:pPr>
        <w:wordWrap w:val="0"/>
        <w:spacing w:after="0" w:line="276" w:lineRule="auto"/>
        <w:jc w:val="right"/>
        <w:rPr>
          <w:rFonts w:eastAsia="Times New Roman" w:cstheme="minorHAnsi"/>
          <w:sz w:val="24"/>
          <w:szCs w:val="24"/>
          <w:highlight w:val="yellow"/>
          <w:lang w:eastAsia="hr-HR"/>
        </w:rPr>
      </w:pPr>
      <w:bookmarkStart w:id="0" w:name="_GoBack"/>
      <w:bookmarkEnd w:id="0"/>
    </w:p>
    <w:p w14:paraId="0812B2B4">
      <w:pPr>
        <w:wordWrap w:val="0"/>
        <w:spacing w:after="0" w:line="276" w:lineRule="auto"/>
        <w:jc w:val="right"/>
        <w:rPr>
          <w:rFonts w:eastAsia="Times New Roman" w:cstheme="minorHAnsi"/>
          <w:sz w:val="24"/>
          <w:szCs w:val="24"/>
          <w:highlight w:val="yellow"/>
          <w:lang w:eastAsia="hr-HR"/>
        </w:rPr>
      </w:pPr>
    </w:p>
    <w:p w14:paraId="06C70C00">
      <w:pPr>
        <w:wordWrap w:val="0"/>
        <w:spacing w:after="0" w:line="276" w:lineRule="auto"/>
        <w:jc w:val="right"/>
        <w:rPr>
          <w:rFonts w:hint="default" w:eastAsia="Times New Roman" w:cstheme="minorHAnsi"/>
          <w:sz w:val="24"/>
          <w:szCs w:val="24"/>
          <w:highlight w:val="none"/>
          <w:lang w:val="en-US" w:eastAsia="hr-HR"/>
        </w:rPr>
      </w:pPr>
      <w:r>
        <w:rPr>
          <w:rFonts w:eastAsia="Times New Roman" w:cstheme="minorHAnsi"/>
          <w:sz w:val="24"/>
          <w:szCs w:val="24"/>
          <w:highlight w:val="none"/>
          <w:lang w:eastAsia="hr-HR"/>
        </w:rPr>
        <w:t>Predsjednik Školskog odbora</w:t>
      </w:r>
      <w:r>
        <w:rPr>
          <w:rFonts w:hint="default" w:eastAsia="Times New Roman" w:cstheme="minorHAnsi"/>
          <w:sz w:val="24"/>
          <w:szCs w:val="24"/>
          <w:highlight w:val="none"/>
          <w:lang w:val="en-US" w:eastAsia="hr-HR"/>
        </w:rPr>
        <w:t>:</w:t>
      </w:r>
      <w:r>
        <w:rPr>
          <w:rFonts w:hint="default" w:eastAsia="Times New Roman" w:cstheme="minorHAnsi"/>
          <w:sz w:val="24"/>
          <w:szCs w:val="24"/>
          <w:highlight w:val="none"/>
          <w:lang w:val="en-US" w:eastAsia="hr-HR"/>
        </w:rPr>
        <w:br w:type="textWrapping"/>
      </w:r>
      <w:r>
        <w:rPr>
          <w:rFonts w:hint="default" w:eastAsia="Times New Roman" w:cstheme="minorHAnsi"/>
          <w:sz w:val="24"/>
          <w:szCs w:val="24"/>
          <w:highlight w:val="none"/>
          <w:lang w:val="en-US" w:eastAsia="hr-HR"/>
        </w:rPr>
        <w:t>Anisija Knežić</w:t>
      </w:r>
    </w:p>
    <w:p w14:paraId="6EC7340A">
      <w:pPr>
        <w:spacing w:after="0" w:line="276" w:lineRule="auto"/>
        <w:jc w:val="center"/>
        <w:rPr>
          <w:rFonts w:hint="default" w:eastAsia="Times New Roman" w:cstheme="minorHAnsi"/>
          <w:sz w:val="24"/>
          <w:szCs w:val="24"/>
          <w:highlight w:val="none"/>
          <w:lang w:val="en-US" w:eastAsia="hr-HR"/>
        </w:rPr>
      </w:pPr>
    </w:p>
    <w:p w14:paraId="349F62CB">
      <w:pPr>
        <w:spacing w:after="0" w:line="276" w:lineRule="auto"/>
        <w:jc w:val="right"/>
        <w:rPr>
          <w:rFonts w:eastAsia="Times New Roman" w:cstheme="minorHAnsi"/>
          <w:sz w:val="24"/>
          <w:szCs w:val="24"/>
          <w:highlight w:val="none"/>
          <w:lang w:eastAsia="hr-HR"/>
        </w:rPr>
      </w:pPr>
    </w:p>
    <w:p w14:paraId="2E33355B">
      <w:pPr>
        <w:spacing w:after="0" w:line="276" w:lineRule="auto"/>
        <w:jc w:val="right"/>
        <w:rPr>
          <w:rFonts w:eastAsia="Times New Roman" w:cstheme="minorHAnsi"/>
          <w:sz w:val="24"/>
          <w:szCs w:val="24"/>
          <w:highlight w:val="none"/>
          <w:lang w:eastAsia="hr-HR"/>
        </w:rPr>
      </w:pPr>
    </w:p>
    <w:p w14:paraId="3D21C413">
      <w:pPr>
        <w:wordWrap w:val="0"/>
        <w:spacing w:after="0" w:line="276" w:lineRule="auto"/>
        <w:jc w:val="right"/>
        <w:rPr>
          <w:rFonts w:hint="default" w:eastAsia="Times New Roman" w:cstheme="minorHAnsi"/>
          <w:sz w:val="24"/>
          <w:szCs w:val="24"/>
          <w:highlight w:val="none"/>
          <w:lang w:val="en-US" w:eastAsia="hr-HR"/>
        </w:rPr>
      </w:pPr>
      <w:r>
        <w:rPr>
          <w:rFonts w:eastAsia="Times New Roman" w:cstheme="minorHAnsi"/>
          <w:sz w:val="24"/>
          <w:szCs w:val="24"/>
          <w:highlight w:val="none"/>
          <w:lang w:eastAsia="hr-HR"/>
        </w:rPr>
        <w:t xml:space="preserve">                                                                          Ravnatelj</w:t>
      </w:r>
      <w:r>
        <w:rPr>
          <w:rFonts w:hint="default" w:eastAsia="Times New Roman" w:cstheme="minorHAnsi"/>
          <w:sz w:val="24"/>
          <w:szCs w:val="24"/>
          <w:highlight w:val="none"/>
          <w:lang w:val="en-US" w:eastAsia="hr-HR"/>
        </w:rPr>
        <w:t>ica</w:t>
      </w:r>
      <w:r>
        <w:rPr>
          <w:rFonts w:eastAsia="Times New Roman" w:cstheme="minorHAnsi"/>
          <w:sz w:val="24"/>
          <w:szCs w:val="24"/>
          <w:highlight w:val="none"/>
          <w:lang w:eastAsia="hr-HR"/>
        </w:rPr>
        <w:t>:</w:t>
      </w:r>
      <w:r>
        <w:rPr>
          <w:rFonts w:eastAsia="Times New Roman" w:cstheme="minorHAnsi"/>
          <w:sz w:val="24"/>
          <w:szCs w:val="24"/>
          <w:highlight w:val="none"/>
          <w:lang w:eastAsia="hr-HR"/>
        </w:rPr>
        <w:br w:type="textWrapping"/>
      </w:r>
      <w:r>
        <w:rPr>
          <w:rFonts w:hint="default" w:eastAsia="Times New Roman" w:cstheme="minorHAnsi"/>
          <w:sz w:val="24"/>
          <w:szCs w:val="24"/>
          <w:highlight w:val="none"/>
          <w:lang w:val="en-US" w:eastAsia="hr-HR"/>
        </w:rPr>
        <w:t>Valentina Peršin Čubranić</w:t>
      </w:r>
    </w:p>
    <w:p w14:paraId="0BFE184B">
      <w:pPr>
        <w:spacing w:before="100" w:beforeAutospacing="1" w:after="100" w:afterAutospacing="1" w:line="276" w:lineRule="auto"/>
        <w:jc w:val="both"/>
        <w:rPr>
          <w:rFonts w:cstheme="minorHAnsi"/>
          <w:sz w:val="24"/>
          <w:szCs w:val="24"/>
          <w:highlight w:val="none"/>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A673C"/>
    <w:multiLevelType w:val="multilevel"/>
    <w:tmpl w:val="025A67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F8462E"/>
    <w:multiLevelType w:val="multilevel"/>
    <w:tmpl w:val="0CF8462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11E5E7A"/>
    <w:multiLevelType w:val="multilevel"/>
    <w:tmpl w:val="111E5E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487401C"/>
    <w:multiLevelType w:val="multilevel"/>
    <w:tmpl w:val="148740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825767E"/>
    <w:multiLevelType w:val="multilevel"/>
    <w:tmpl w:val="182576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8F94BC7"/>
    <w:multiLevelType w:val="multilevel"/>
    <w:tmpl w:val="18F94B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B110974"/>
    <w:multiLevelType w:val="multilevel"/>
    <w:tmpl w:val="1B1109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40C1FED"/>
    <w:multiLevelType w:val="multilevel"/>
    <w:tmpl w:val="240C1F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8160436"/>
    <w:multiLevelType w:val="multilevel"/>
    <w:tmpl w:val="281604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FD94989"/>
    <w:multiLevelType w:val="multilevel"/>
    <w:tmpl w:val="2FD94989"/>
    <w:lvl w:ilvl="0" w:tentative="0">
      <w:start w:val="0"/>
      <w:numFmt w:val="bullet"/>
      <w:lvlText w:val="•"/>
      <w:lvlJc w:val="left"/>
      <w:pPr>
        <w:ind w:left="1065" w:hanging="705"/>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0294919"/>
    <w:multiLevelType w:val="multilevel"/>
    <w:tmpl w:val="302949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5FC55FE"/>
    <w:multiLevelType w:val="multilevel"/>
    <w:tmpl w:val="35FC55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6720455"/>
    <w:multiLevelType w:val="multilevel"/>
    <w:tmpl w:val="367204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9467CBE"/>
    <w:multiLevelType w:val="multilevel"/>
    <w:tmpl w:val="39467C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C9A226D"/>
    <w:multiLevelType w:val="multilevel"/>
    <w:tmpl w:val="3C9A22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1A51363"/>
    <w:multiLevelType w:val="multilevel"/>
    <w:tmpl w:val="41A513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E8D49A5"/>
    <w:multiLevelType w:val="multilevel"/>
    <w:tmpl w:val="4E8D49A5"/>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6F00AE2"/>
    <w:multiLevelType w:val="multilevel"/>
    <w:tmpl w:val="56F00A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D7D48C9"/>
    <w:multiLevelType w:val="multilevel"/>
    <w:tmpl w:val="5D7D48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5DC4607D"/>
    <w:multiLevelType w:val="multilevel"/>
    <w:tmpl w:val="5DC460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FEB7417"/>
    <w:multiLevelType w:val="multilevel"/>
    <w:tmpl w:val="5FEB74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2D721E8"/>
    <w:multiLevelType w:val="multilevel"/>
    <w:tmpl w:val="62D721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76431CD"/>
    <w:multiLevelType w:val="multilevel"/>
    <w:tmpl w:val="676431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68C7617B"/>
    <w:multiLevelType w:val="multilevel"/>
    <w:tmpl w:val="68C761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7BD30ED1"/>
    <w:multiLevelType w:val="multilevel"/>
    <w:tmpl w:val="7BD30E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7F1A5F58"/>
    <w:multiLevelType w:val="multilevel"/>
    <w:tmpl w:val="7F1A5F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10"/>
  </w:num>
  <w:num w:numId="3">
    <w:abstractNumId w:val="0"/>
  </w:num>
  <w:num w:numId="4">
    <w:abstractNumId w:val="7"/>
  </w:num>
  <w:num w:numId="5">
    <w:abstractNumId w:val="24"/>
  </w:num>
  <w:num w:numId="6">
    <w:abstractNumId w:val="15"/>
  </w:num>
  <w:num w:numId="7">
    <w:abstractNumId w:val="18"/>
  </w:num>
  <w:num w:numId="8">
    <w:abstractNumId w:val="20"/>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3"/>
  </w:num>
  <w:num w:numId="21">
    <w:abstractNumId w:val="21"/>
  </w:num>
  <w:num w:numId="22">
    <w:abstractNumId w:val="2"/>
  </w:num>
  <w:num w:numId="23">
    <w:abstractNumId w:val="9"/>
  </w:num>
  <w:num w:numId="24">
    <w:abstractNumId w:val="4"/>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0C"/>
    <w:rsid w:val="000D560D"/>
    <w:rsid w:val="0039590C"/>
    <w:rsid w:val="004B698D"/>
    <w:rsid w:val="00C50E31"/>
    <w:rsid w:val="00DC5613"/>
    <w:rsid w:val="00FA51D2"/>
    <w:rsid w:val="1A00011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hr-HR"/>
    </w:rPr>
  </w:style>
  <w:style w:type="paragraph" w:styleId="3">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hr-HR"/>
    </w:rPr>
  </w:style>
  <w:style w:type="paragraph" w:styleId="4">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hr-HR"/>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hr-HR"/>
    </w:rPr>
  </w:style>
  <w:style w:type="character" w:styleId="8">
    <w:name w:val="Strong"/>
    <w:basedOn w:val="5"/>
    <w:qFormat/>
    <w:uiPriority w:val="22"/>
    <w:rPr>
      <w:b/>
      <w:bCs/>
    </w:rPr>
  </w:style>
  <w:style w:type="character" w:customStyle="1" w:styleId="9">
    <w:name w:val="Heading 1 Char"/>
    <w:basedOn w:val="5"/>
    <w:link w:val="2"/>
    <w:qFormat/>
    <w:uiPriority w:val="9"/>
    <w:rPr>
      <w:rFonts w:ascii="Times New Roman" w:hAnsi="Times New Roman" w:eastAsia="Times New Roman" w:cs="Times New Roman"/>
      <w:b/>
      <w:bCs/>
      <w:kern w:val="36"/>
      <w:sz w:val="48"/>
      <w:szCs w:val="48"/>
      <w:lang w:eastAsia="hr-HR"/>
    </w:rPr>
  </w:style>
  <w:style w:type="character" w:customStyle="1" w:styleId="10">
    <w:name w:val="Heading 2 Char"/>
    <w:basedOn w:val="5"/>
    <w:link w:val="3"/>
    <w:qFormat/>
    <w:uiPriority w:val="9"/>
    <w:rPr>
      <w:rFonts w:ascii="Times New Roman" w:hAnsi="Times New Roman" w:eastAsia="Times New Roman" w:cs="Times New Roman"/>
      <w:b/>
      <w:bCs/>
      <w:sz w:val="36"/>
      <w:szCs w:val="36"/>
      <w:lang w:eastAsia="hr-HR"/>
    </w:rPr>
  </w:style>
  <w:style w:type="character" w:customStyle="1" w:styleId="11">
    <w:name w:val="Heading 3 Char"/>
    <w:basedOn w:val="5"/>
    <w:link w:val="4"/>
    <w:qFormat/>
    <w:uiPriority w:val="9"/>
    <w:rPr>
      <w:rFonts w:ascii="Times New Roman" w:hAnsi="Times New Roman" w:eastAsia="Times New Roman" w:cs="Times New Roman"/>
      <w:b/>
      <w:bCs/>
      <w:sz w:val="27"/>
      <w:szCs w:val="27"/>
      <w:lang w:eastAsia="hr-HR"/>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2651</Words>
  <Characters>16516</Characters>
  <Lines>172</Lines>
  <Paragraphs>48</Paragraphs>
  <TotalTime>37</TotalTime>
  <ScaleCrop>false</ScaleCrop>
  <LinksUpToDate>false</LinksUpToDate>
  <CharactersWithSpaces>18980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2026-07-09T16:40:00Z</dcterms:created>
  <dc:creator>Tomislav</dc:creator>
  <cp:lastModifiedBy>WPS_1780473364</cp:lastModifiedBy>
  <dcterms:modified xsi:type="dcterms:W3CDTF">2026-07-13T09:23:11Z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eyJoZGlkIjoiNmVhODczNTE3ZGQ1YjRmNTFmN2MzMjhjZmYzYWMzYzUiLCJ1c2VySWQiOiIxMDAzMzA0NTYzMTM3OCJ9</vt:lpwstr>
  </property>
  <property fmtid="{D5CDD505-2E9C-101B-9397-08002B2CF9AE}" pid="3" name="KSOProductBuildVer">
    <vt:lpwstr>1033-12.1.0.26880</vt:lpwstr>
  </property>
  <property fmtid="{D5CDD505-2E9C-101B-9397-08002B2CF9AE}" pid="4" name="ICV">
    <vt:lpwstr>F01EE20B137745949ED15DDF990C4121_13</vt:lpwstr>
  </property>
</Properties>
</file>